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260"/>
        <w:gridCol w:w="2260"/>
        <w:gridCol w:w="2260"/>
        <w:gridCol w:w="2612"/>
        <w:gridCol w:w="1908"/>
      </w:tblGrid>
      <w:tr w:rsidR="000C7797" w:rsidRPr="004C4AD5" w:rsidTr="000E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C7797" w:rsidRPr="00DC3144" w:rsidRDefault="00DC3144" w:rsidP="000E54F5">
            <w:pPr>
              <w:spacing w:before="120" w:after="120"/>
              <w:ind w:firstLine="0"/>
              <w:rPr>
                <w:rFonts w:asciiTheme="minorHAnsi" w:hAnsiTheme="minorHAnsi"/>
                <w:bCs w:val="0"/>
                <w:color w:val="221E1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 w:val="0"/>
                <w:color w:val="221E1F"/>
                <w:sz w:val="28"/>
                <w:szCs w:val="28"/>
              </w:rPr>
              <w:t xml:space="preserve">Progressive </w:t>
            </w:r>
            <w:r w:rsidR="000C7797" w:rsidRPr="00DC3144">
              <w:rPr>
                <w:rFonts w:asciiTheme="minorHAnsi" w:hAnsiTheme="minorHAnsi"/>
                <w:bCs w:val="0"/>
                <w:color w:val="221E1F"/>
                <w:sz w:val="28"/>
                <w:szCs w:val="28"/>
              </w:rPr>
              <w:t>Case Study Assignment Rubric</w:t>
            </w:r>
          </w:p>
        </w:tc>
      </w:tr>
      <w:tr w:rsidR="000C7797" w:rsidRPr="004C4AD5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797" w:rsidRPr="004C4AD5" w:rsidRDefault="000C7797" w:rsidP="000E54F5">
            <w:pPr>
              <w:pStyle w:val="Default"/>
              <w:spacing w:before="120" w:after="120"/>
              <w:ind w:left="245" w:hanging="245"/>
              <w:jc w:val="center"/>
              <w:rPr>
                <w:rFonts w:ascii="HelveticaLTStd-Bold" w:hAnsi="HelveticaLTStd-Bold" w:cs="HelveticaLTStd-Bold"/>
                <w:bCs w:val="0"/>
                <w:sz w:val="17"/>
                <w:szCs w:val="17"/>
              </w:rPr>
            </w:pPr>
            <w:r w:rsidRPr="004C4AD5">
              <w:rPr>
                <w:rFonts w:ascii="HelveticaLTStd-Bold" w:hAnsi="HelveticaLTStd-Bold" w:cs="HelveticaLTStd-Bold"/>
                <w:bCs w:val="0"/>
                <w:sz w:val="17"/>
                <w:szCs w:val="17"/>
              </w:rPr>
              <w:t>Demonstration of Deeper Understanding and Cognitive Skills</w:t>
            </w:r>
          </w:p>
        </w:tc>
      </w:tr>
      <w:tr w:rsidR="000C7797" w:rsidRPr="00DC3144" w:rsidTr="000E54F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Cs w:val="0"/>
                <w:color w:val="221E1F"/>
                <w:sz w:val="18"/>
                <w:szCs w:val="18"/>
              </w:rPr>
              <w:t xml:space="preserve">Criterion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Does Not Meet Expectations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Nearly Meets Expectations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Meets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br/>
              <w:t xml:space="preserve">Expectations 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Exceeds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br/>
              <w:t xml:space="preserve">Expectations 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Score and Comments </w:t>
            </w: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≤</w:t>
            </w:r>
            <w:r w:rsidRPr="00DC3144">
              <w:rPr>
                <w:rFonts w:asciiTheme="minorHAnsi" w:hAnsiTheme="minorHAnsi" w:cs="Times New Roman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14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15–16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17–18 </w:t>
            </w:r>
          </w:p>
        </w:tc>
        <w:tc>
          <w:tcPr>
            <w:tcW w:w="2612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19–20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t>Identification of the main issues/</w:t>
            </w: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br/>
              <w:t xml:space="preserve">problems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Unable to identify, label, and understand relevant main issues and/or problems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Identifies, labels, and understands all but 3 or 4 relevant main issues and/or problems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Identifies, labels, and understands all but 1 or 2 relevant main issues and/or problems </w:t>
            </w:r>
          </w:p>
        </w:tc>
        <w:tc>
          <w:tcPr>
            <w:tcW w:w="2612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Identifies, labels, and understands all relevant main issues and/or problems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spacing w:before="120" w:after="120"/>
              <w:rPr>
                <w:rFonts w:asciiTheme="minorHAnsi" w:hAnsi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≤</w:t>
            </w:r>
            <w:r w:rsidRPr="00DC3144">
              <w:rPr>
                <w:rFonts w:asciiTheme="minorHAnsi" w:hAnsiTheme="minorHAnsi" w:cs="Times New Roman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14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15–16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17–18 </w:t>
            </w:r>
          </w:p>
        </w:tc>
        <w:tc>
          <w:tcPr>
            <w:tcW w:w="2612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19–20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Score and Comments</w:t>
            </w:r>
          </w:p>
        </w:tc>
      </w:tr>
      <w:tr w:rsidR="000C7797" w:rsidRPr="00DC3144" w:rsidTr="000E5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t xml:space="preserve">Analysis of issues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Incomplete analysis of the problems/questions presented in the case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Superficial analysis of some of the problems/questions presented in the case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Thorough analysis of most of the problems/questions presented in the case </w:t>
            </w:r>
          </w:p>
        </w:tc>
        <w:tc>
          <w:tcPr>
            <w:tcW w:w="2612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Insightful and thorough analysis of all the questions presented in the case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≤</w:t>
            </w:r>
            <w:r w:rsidRPr="00DC3144">
              <w:rPr>
                <w:rFonts w:asciiTheme="minorHAnsi" w:hAnsiTheme="minorHAnsi" w:cs="Times New Roman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14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15–16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17–18 </w:t>
            </w:r>
          </w:p>
        </w:tc>
        <w:tc>
          <w:tcPr>
            <w:tcW w:w="2612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19–20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Score and Comments</w:t>
            </w:r>
          </w:p>
        </w:tc>
      </w:tr>
      <w:tr w:rsidR="000C7797" w:rsidRPr="00DC3144" w:rsidTr="000E5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t xml:space="preserve">Linkage of course readings and other resources to problem/question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Incomplete or no inquiry into problems/questions with clearly documented linkages to the material read in class, other assigned resources, previously gained knowledge, and/or outside resources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Limited inquiry into the problems/questions with clearly documented linkages to the material read in class, or other assigned resources, previously gained knowledge, or out-side resources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Good inquiry into the problems/questions with clearly documented linkages to the material read in class, and/or other assigned resources, previously gained knowledge, and/or outside resources </w:t>
            </w:r>
          </w:p>
        </w:tc>
        <w:tc>
          <w:tcPr>
            <w:tcW w:w="2612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Excellent inquiry into the problems/questions with clearly documented link-ages to the material read in class, other assigned resources, previously gained knowledge, and outside resources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≤</w:t>
            </w:r>
            <w:r w:rsidRPr="00DC3144">
              <w:rPr>
                <w:rFonts w:asciiTheme="minorHAnsi" w:hAnsiTheme="minorHAnsi" w:cs="Times New Roman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14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15–16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17–18 </w:t>
            </w:r>
          </w:p>
        </w:tc>
        <w:tc>
          <w:tcPr>
            <w:tcW w:w="2612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19–20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keepNext/>
              <w:keepLines/>
              <w:spacing w:before="120" w:after="12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Score and Comments</w:t>
            </w:r>
          </w:p>
        </w:tc>
      </w:tr>
      <w:tr w:rsidR="000C7797" w:rsidRPr="00DC3144" w:rsidTr="000E5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t xml:space="preserve">Effective  response and/or solutions to case study questions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Each response is incorrect, or poorly written, or unreferenced, and irrelevant to question(s) or problem(s) presented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Each response is minimally correct, or well-written, or appropriately referenced, or irrelevant to question(s) or problem(s) presented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Each response is mostly correct, and/or well-written, and/or appropriately referenced, and/or relevant to question(s) and/or problem(s) presented </w:t>
            </w:r>
          </w:p>
        </w:tc>
        <w:tc>
          <w:tcPr>
            <w:tcW w:w="2612" w:type="dxa"/>
          </w:tcPr>
          <w:p w:rsidR="000C7797" w:rsidRPr="00DC3144" w:rsidRDefault="000C7797" w:rsidP="000E54F5">
            <w:pPr>
              <w:pStyle w:val="Default"/>
              <w:keepNext/>
              <w:keepLines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Each response is correct, well-written, appropriately referenced, and relevant to question(s) or problem(s) presented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keepNext/>
              <w:keepLines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≤ 14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15–16 </w:t>
            </w:r>
          </w:p>
        </w:tc>
        <w:tc>
          <w:tcPr>
            <w:tcW w:w="2260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17–18 </w:t>
            </w:r>
          </w:p>
        </w:tc>
        <w:tc>
          <w:tcPr>
            <w:tcW w:w="2612" w:type="dxa"/>
            <w:vAlign w:val="center"/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19–20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>Score and Comments</w:t>
            </w:r>
          </w:p>
        </w:tc>
      </w:tr>
      <w:tr w:rsidR="000C7797" w:rsidRPr="00DC3144" w:rsidTr="000E5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 w:val="0"/>
                <w:color w:val="221E1F"/>
                <w:sz w:val="18"/>
                <w:szCs w:val="18"/>
              </w:rPr>
              <w:t xml:space="preserve">Formatting, spelling, grammar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Multiple errors in APA citations and references. There are multiple mechanical errors such as spelling, formatting, and grammar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May have some errors in APA citations and references. There are some mechanical errors such as spelling, formatting, or grammar </w:t>
            </w:r>
          </w:p>
        </w:tc>
        <w:tc>
          <w:tcPr>
            <w:tcW w:w="2260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Minimum errors in APA citation and references. There are minimal mechanical errors such as spelling, and/or formatting, and/or grammar </w:t>
            </w:r>
          </w:p>
        </w:tc>
        <w:tc>
          <w:tcPr>
            <w:tcW w:w="2612" w:type="dxa"/>
          </w:tcPr>
          <w:p w:rsidR="000C7797" w:rsidRPr="00DC3144" w:rsidRDefault="000C7797" w:rsidP="000E54F5">
            <w:pPr>
              <w:pStyle w:val="Default"/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color w:val="221E1F"/>
                <w:sz w:val="18"/>
                <w:szCs w:val="18"/>
              </w:rPr>
              <w:t xml:space="preserve">No errors in APA citations or references. There are no mechanical errors such as spelling, formatting, and grammar </w:t>
            </w:r>
          </w:p>
        </w:tc>
        <w:tc>
          <w:tcPr>
            <w:tcW w:w="1908" w:type="dxa"/>
          </w:tcPr>
          <w:p w:rsidR="000C7797" w:rsidRPr="00DC3144" w:rsidRDefault="000C7797" w:rsidP="000E54F5">
            <w:pPr>
              <w:spacing w:before="120" w:after="12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C7797" w:rsidRPr="00DC3144" w:rsidTr="000E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0C7797" w:rsidRPr="00DC3144" w:rsidRDefault="000C7797" w:rsidP="000E54F5">
            <w:pPr>
              <w:pStyle w:val="Default"/>
              <w:spacing w:before="120" w:after="12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Cs w:val="0"/>
                <w:color w:val="221E1F"/>
                <w:sz w:val="18"/>
                <w:szCs w:val="18"/>
              </w:rPr>
              <w:t xml:space="preserve">Total points possible: 100 </w:t>
            </w:r>
          </w:p>
        </w:tc>
        <w:tc>
          <w:tcPr>
            <w:tcW w:w="1130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0C7797" w:rsidRPr="00DC3144" w:rsidRDefault="000C7797" w:rsidP="000E54F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221E1F"/>
                <w:sz w:val="18"/>
                <w:szCs w:val="18"/>
              </w:rPr>
            </w:pPr>
            <w:r w:rsidRPr="00DC3144">
              <w:rPr>
                <w:rFonts w:asciiTheme="minorHAnsi" w:hAnsiTheme="minorHAnsi"/>
                <w:b/>
                <w:bCs/>
                <w:color w:val="221E1F"/>
                <w:sz w:val="18"/>
                <w:szCs w:val="18"/>
              </w:rPr>
              <w:t xml:space="preserve">Score and summary comments: </w:t>
            </w:r>
          </w:p>
        </w:tc>
      </w:tr>
    </w:tbl>
    <w:p w:rsidR="00A4706B" w:rsidRDefault="00A4706B">
      <w:pPr>
        <w:rPr>
          <w:rFonts w:asciiTheme="minorHAnsi" w:hAnsiTheme="minorHAnsi"/>
          <w:sz w:val="18"/>
          <w:szCs w:val="18"/>
        </w:rPr>
      </w:pPr>
    </w:p>
    <w:p w:rsidR="00DC3144" w:rsidRPr="00F11DCA" w:rsidRDefault="00DC3144" w:rsidP="00DC3144">
      <w:pPr>
        <w:ind w:firstLine="0"/>
        <w:rPr>
          <w:rFonts w:asciiTheme="minorHAnsi" w:hAnsiTheme="minorHAnsi"/>
          <w:sz w:val="24"/>
          <w:szCs w:val="24"/>
        </w:rPr>
      </w:pPr>
      <w:r w:rsidRPr="00F11DCA">
        <w:rPr>
          <w:rFonts w:asciiTheme="minorHAnsi" w:hAnsiTheme="minorHAnsi"/>
          <w:sz w:val="24"/>
          <w:szCs w:val="24"/>
        </w:rPr>
        <w:t xml:space="preserve">Note: This rubric is an adaptation of the rubric offered by Dennison et al. (2015). </w:t>
      </w:r>
      <w:r w:rsidRPr="003C6FBE">
        <w:rPr>
          <w:rFonts w:asciiTheme="minorHAnsi" w:hAnsiTheme="minorHAnsi"/>
          <w:i/>
          <w:sz w:val="24"/>
          <w:szCs w:val="24"/>
        </w:rPr>
        <w:t>Evaluation beyond exams in nursing education: Designing assignments and evaluating with rubrics</w:t>
      </w:r>
      <w:r w:rsidRPr="00F11DCA">
        <w:rPr>
          <w:rFonts w:asciiTheme="minorHAnsi" w:hAnsiTheme="minorHAnsi"/>
          <w:sz w:val="24"/>
          <w:szCs w:val="24"/>
        </w:rPr>
        <w:t>.</w:t>
      </w:r>
    </w:p>
    <w:p w:rsidR="00DC3144" w:rsidRPr="00F11DCA" w:rsidRDefault="00DC3144" w:rsidP="00DC3144">
      <w:pPr>
        <w:rPr>
          <w:rFonts w:asciiTheme="minorHAnsi" w:hAnsiTheme="minorHAnsi"/>
        </w:rPr>
      </w:pPr>
    </w:p>
    <w:p w:rsidR="00DC3144" w:rsidRPr="00DC3144" w:rsidRDefault="00DC3144">
      <w:pPr>
        <w:rPr>
          <w:rFonts w:asciiTheme="minorHAnsi" w:hAnsiTheme="minorHAnsi"/>
          <w:sz w:val="18"/>
          <w:szCs w:val="18"/>
        </w:rPr>
      </w:pPr>
    </w:p>
    <w:sectPr w:rsidR="00DC3144" w:rsidRPr="00DC3144" w:rsidSect="000C7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97"/>
    <w:rsid w:val="000C7797"/>
    <w:rsid w:val="003C6FBE"/>
    <w:rsid w:val="007279FD"/>
    <w:rsid w:val="00A4706B"/>
    <w:rsid w:val="00A731B2"/>
    <w:rsid w:val="00C77B22"/>
    <w:rsid w:val="00D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74850-CF73-4B7C-AE92-82B9902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97"/>
    <w:pPr>
      <w:overflowPunct w:val="0"/>
      <w:autoSpaceDE w:val="0"/>
      <w:autoSpaceDN w:val="0"/>
      <w:adjustRightInd w:val="0"/>
      <w:spacing w:after="0" w:line="240" w:lineRule="atLeast"/>
      <w:ind w:firstLine="238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C7797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C7797"/>
    <w:pPr>
      <w:autoSpaceDE w:val="0"/>
      <w:autoSpaceDN w:val="0"/>
      <w:adjustRightInd w:val="0"/>
      <w:spacing w:after="0" w:line="240" w:lineRule="auto"/>
    </w:pPr>
    <w:rPr>
      <w:rFonts w:ascii="Helvetica LT Std" w:eastAsia="Times New Roman" w:hAnsi="Helvetica LT Std" w:cs="Helvetica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R. McDowell</dc:creator>
  <cp:lastModifiedBy>Twyla Tasker</cp:lastModifiedBy>
  <cp:revision>2</cp:revision>
  <dcterms:created xsi:type="dcterms:W3CDTF">2020-06-11T18:00:00Z</dcterms:created>
  <dcterms:modified xsi:type="dcterms:W3CDTF">2020-06-11T18:00:00Z</dcterms:modified>
</cp:coreProperties>
</file>